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Le compte financier :</w:t>
      </w:r>
    </w:p>
    <w:p w:rsidR="00000000" w:rsidDel="00000000" w:rsidP="00000000" w:rsidRDefault="00000000" w:rsidRPr="00000000" w14:paraId="00000003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• est un état de la situation comptable et financière réalisé au 31 décembre</w:t>
      </w:r>
    </w:p>
    <w:p w:rsidR="00000000" w:rsidDel="00000000" w:rsidP="00000000" w:rsidRDefault="00000000" w:rsidRPr="00000000" w14:paraId="00000004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   • rend compte de la réalisation du budget </w:t>
      </w:r>
    </w:p>
    <w:p w:rsidR="00000000" w:rsidDel="00000000" w:rsidP="00000000" w:rsidRDefault="00000000" w:rsidRPr="00000000" w14:paraId="00000005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Le conseil d'administration vote pour :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ind w:left="720" w:hanging="360"/>
        <w:jc w:val="both"/>
        <w:rPr>
          <w:rFonts w:ascii="Bookman Old Style" w:cs="Bookman Old Style" w:eastAsia="Bookman Old Style" w:hAnsi="Bookman Old Styl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arrêter le compte financier qui lui est soumis et peut émettre des réserves en cas d’irrégularités</w:t>
      </w:r>
    </w:p>
    <w:p w:rsidR="00000000" w:rsidDel="00000000" w:rsidP="00000000" w:rsidRDefault="00000000" w:rsidRPr="00000000" w14:paraId="00000008">
      <w:pPr>
        <w:numPr>
          <w:ilvl w:val="0"/>
          <w:numId w:val="3"/>
        </w:numPr>
        <w:ind w:left="720" w:hanging="360"/>
        <w:jc w:val="both"/>
        <w:rPr>
          <w:rFonts w:ascii="Bookman Old Style" w:cs="Bookman Old Style" w:eastAsia="Bookman Old Style" w:hAnsi="Bookman Old Style"/>
          <w:u w:val="none"/>
        </w:rPr>
      </w:pP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affecter le résultat</w:t>
      </w:r>
    </w:p>
    <w:p w:rsidR="00000000" w:rsidDel="00000000" w:rsidP="00000000" w:rsidRDefault="00000000" w:rsidRPr="00000000" w14:paraId="00000009">
      <w:pPr>
        <w:ind w:left="72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rtl w:val="0"/>
        </w:rPr>
        <w:t xml:space="preserve">Le résultat de l’exercice</w:t>
      </w:r>
      <w:r w:rsidDel="00000000" w:rsidR="00000000" w:rsidRPr="00000000">
        <w:rPr>
          <w:rFonts w:ascii="Bookman Old Style" w:cs="Bookman Old Style" w:eastAsia="Bookman Old Style" w:hAnsi="Bookman Old Style"/>
          <w:rtl w:val="0"/>
        </w:rPr>
        <w:t xml:space="preserve"> : il est constitué de la différence entre le total des recettes (ou produits) et le total des dépenses (ou charges) de la section de fonctionnement.</w:t>
      </w:r>
    </w:p>
    <w:p w:rsidR="00000000" w:rsidDel="00000000" w:rsidP="00000000" w:rsidRDefault="00000000" w:rsidRPr="00000000" w14:paraId="0000000B">
      <w:pPr>
        <w:ind w:left="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725"/>
        <w:gridCol w:w="1680"/>
        <w:gridCol w:w="1680"/>
        <w:gridCol w:w="1605"/>
        <w:tblGridChange w:id="0">
          <w:tblGrid>
            <w:gridCol w:w="4725"/>
            <w:gridCol w:w="1680"/>
            <w:gridCol w:w="1680"/>
            <w:gridCol w:w="1605"/>
          </w:tblGrid>
        </w:tblGridChange>
      </w:tblGrid>
      <w:tr>
        <w:trPr>
          <w:cantSplit w:val="0"/>
          <w:trHeight w:val="468.2421875" w:hRule="atLeast"/>
          <w:tblHeader w:val="0"/>
        </w:trPr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Service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Dépenses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Recettes</w:t>
            </w:r>
          </w:p>
        </w:tc>
        <w:tc>
          <w:tcPr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2"/>
                <w:szCs w:val="22"/>
                <w:rtl w:val="0"/>
              </w:rPr>
              <w:t xml:space="preserve">Différence</w:t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Activité pédagogique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Vie de l'élève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widowControl w:val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Administration et logistique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Services des bourses nationales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Sous-total</w:t>
            </w:r>
          </w:p>
        </w:tc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Restauration et hébergement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.22834645669292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Opération en capital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Vote n°1 du CA sur le total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Vote n°2 du CA sur le résultat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9.76562499999997" w:hRule="atLeast"/>
          <w:tblHeader w:val="0"/>
        </w:trPr>
        <w:tc>
          <w:tcPr>
            <w:gridSpan w:val="4"/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Capacité d’autofinancement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Achat immobilisés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Fonds de roulement au 31/12/2021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sz w:val="20"/>
                <w:szCs w:val="20"/>
                <w:rtl w:val="0"/>
              </w:rPr>
              <w:t xml:space="preserve">Variation du fonds de roulement en 2022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8.242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sz w:val="20"/>
                <w:szCs w:val="20"/>
                <w:rtl w:val="0"/>
              </w:rPr>
              <w:t xml:space="preserve">Fonds de roulement au 31/12/2022</w:t>
            </w:r>
          </w:p>
        </w:tc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jc w:val="center"/>
              <w:rPr>
                <w:rFonts w:ascii="Bookman Old Style" w:cs="Bookman Old Style" w:eastAsia="Bookman Old Style" w:hAnsi="Bookman Old Style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ind w:left="0" w:firstLine="0"/>
        <w:jc w:val="both"/>
        <w:rPr>
          <w:rFonts w:ascii="Bookman Old Style" w:cs="Bookman Old Style" w:eastAsia="Bookman Old Style" w:hAnsi="Bookman Old Sty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Bookman Old Style" w:cs="Bookman Old Style" w:eastAsia="Bookman Old Style" w:hAnsi="Bookman Old Styl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Bookman Old Style" w:cs="Bookman Old Style" w:eastAsia="Bookman Old Style" w:hAnsi="Bookman Old Styl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highlight w:val="white"/>
          <w:rtl w:val="0"/>
        </w:rPr>
        <w:t xml:space="preserve">2. Valeur du patrimoine </w:t>
      </w: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: il est constitué des biens de plus de 800 € durables.</w:t>
      </w:r>
    </w:p>
    <w:p w:rsidR="00000000" w:rsidDel="00000000" w:rsidP="00000000" w:rsidRDefault="00000000" w:rsidRPr="00000000" w14:paraId="0000005C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638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12.6666666666665"/>
        <w:gridCol w:w="3212.6666666666665"/>
        <w:gridCol w:w="3212.6666666666665"/>
        <w:tblGridChange w:id="0">
          <w:tblGrid>
            <w:gridCol w:w="3212.6666666666665"/>
            <w:gridCol w:w="3212.6666666666665"/>
            <w:gridCol w:w="3212.66666666666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highlight w:val="whit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highlight w:val="white"/>
                <w:rtl w:val="0"/>
              </w:rPr>
              <w:t xml:space="preserve">n-2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b w:val="1"/>
                <w:highlight w:val="whit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b w:val="1"/>
                <w:highlight w:val="white"/>
                <w:rtl w:val="0"/>
              </w:rPr>
              <w:t xml:space="preserve">n-1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highlight w:val="whit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highlight w:val="white"/>
                <w:rtl w:val="0"/>
              </w:rPr>
              <w:t xml:space="preserve">Valeur d’achat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Bookman Old Style" w:cs="Bookman Old Style" w:eastAsia="Bookman Old Style" w:hAnsi="Bookman Old Styl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Bookman Old Style" w:cs="Bookman Old Style" w:eastAsia="Bookman Old Style" w:hAnsi="Bookman Old Style"/>
                <w:highlight w:val="white"/>
              </w:rPr>
            </w:pPr>
            <w:r w:rsidDel="00000000" w:rsidR="00000000" w:rsidRPr="00000000">
              <w:rPr>
                <w:rFonts w:ascii="Bookman Old Style" w:cs="Bookman Old Style" w:eastAsia="Bookman Old Style" w:hAnsi="Bookman Old Style"/>
                <w:highlight w:val="white"/>
                <w:rtl w:val="0"/>
              </w:rPr>
              <w:t xml:space="preserve">Valeur résiduelle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Bookman Old Style" w:cs="Bookman Old Style" w:eastAsia="Bookman Old Style" w:hAnsi="Bookman Old Styl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jc w:val="center"/>
              <w:rPr>
                <w:rFonts w:ascii="Bookman Old Style" w:cs="Bookman Old Style" w:eastAsia="Bookman Old Style" w:hAnsi="Bookman Old Style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rPr>
          <w:rFonts w:ascii="Bookman Old Style" w:cs="Bookman Old Style" w:eastAsia="Bookman Old Style" w:hAnsi="Bookman Old Styl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rFonts w:ascii="Bookman Old Style" w:cs="Bookman Old Style" w:eastAsia="Bookman Old Style" w:hAnsi="Bookman Old Style"/>
          <w:b w:val="1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highlight w:val="white"/>
          <w:rtl w:val="0"/>
        </w:rPr>
        <w:t xml:space="preserve">3. Les recettes non encaissées ou créances</w:t>
      </w:r>
    </w:p>
    <w:p w:rsidR="00000000" w:rsidDel="00000000" w:rsidP="00000000" w:rsidRDefault="00000000" w:rsidRPr="00000000" w14:paraId="00000068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Le niveau des créances (qui représentent les recettes en attente d’encaissement) fin de xxx  est de yyyy €. </w:t>
      </w:r>
    </w:p>
    <w:p w:rsidR="00000000" w:rsidDel="00000000" w:rsidP="00000000" w:rsidRDefault="00000000" w:rsidRPr="00000000" w14:paraId="0000006A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Les créances des familles représentent zzz € </w:t>
      </w:r>
    </w:p>
    <w:p w:rsidR="00000000" w:rsidDel="00000000" w:rsidP="00000000" w:rsidRDefault="00000000" w:rsidRPr="00000000" w14:paraId="0000006B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Un versement en attente dans le cadre du projet alimentaire territorial aaa €</w:t>
      </w:r>
    </w:p>
    <w:p w:rsidR="00000000" w:rsidDel="00000000" w:rsidP="00000000" w:rsidRDefault="00000000" w:rsidRPr="00000000" w14:paraId="0000006C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Les créances contentieuses se montent à xxxx €</w:t>
      </w:r>
    </w:p>
    <w:p w:rsidR="00000000" w:rsidDel="00000000" w:rsidP="00000000" w:rsidRDefault="00000000" w:rsidRPr="00000000" w14:paraId="0000006D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Un versement en attente concernant l’intervention de diététiciennes bbbb €</w:t>
      </w:r>
    </w:p>
    <w:p w:rsidR="00000000" w:rsidDel="00000000" w:rsidP="00000000" w:rsidRDefault="00000000" w:rsidRPr="00000000" w14:paraId="0000006E">
      <w:pPr>
        <w:rPr>
          <w:rFonts w:ascii="Bookman Old Style" w:cs="Bookman Old Style" w:eastAsia="Bookman Old Style" w:hAnsi="Bookman Old Styl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highlight w:val="white"/>
          <w:rtl w:val="0"/>
        </w:rPr>
        <w:t xml:space="preserve">4. Les dépenses non réalisées ou dettes et les avances/reliquats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Elles correspondent pour l’essentiel à des :</w:t>
      </w:r>
    </w:p>
    <w:p w:rsidR="00000000" w:rsidDel="00000000" w:rsidP="00000000" w:rsidRDefault="00000000" w:rsidRPr="00000000" w14:paraId="00000072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- factures non parvenues ou en cours de règlement au 31/12 pour xxxx €</w:t>
      </w:r>
    </w:p>
    <w:p w:rsidR="00000000" w:rsidDel="00000000" w:rsidP="00000000" w:rsidRDefault="00000000" w:rsidRPr="00000000" w14:paraId="00000073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- avances de familles et de commensaux pour yyyy €</w:t>
      </w:r>
    </w:p>
    <w:p w:rsidR="00000000" w:rsidDel="00000000" w:rsidP="00000000" w:rsidRDefault="00000000" w:rsidRPr="00000000" w14:paraId="00000074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- subventions pas totalement consommées au 31 décembre :</w:t>
      </w:r>
    </w:p>
    <w:p w:rsidR="00000000" w:rsidDel="00000000" w:rsidP="00000000" w:rsidRDefault="00000000" w:rsidRPr="00000000" w14:paraId="00000075">
      <w:pPr>
        <w:ind w:left="1133.858267716535" w:firstLine="0"/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* état : ccccc €</w:t>
      </w:r>
    </w:p>
    <w:p w:rsidR="00000000" w:rsidDel="00000000" w:rsidP="00000000" w:rsidRDefault="00000000" w:rsidRPr="00000000" w14:paraId="00000076">
      <w:pPr>
        <w:ind w:left="1133.858267716535" w:firstLine="0"/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* collectivités territoriale : dddd €</w:t>
      </w:r>
    </w:p>
    <w:p w:rsidR="00000000" w:rsidDel="00000000" w:rsidP="00000000" w:rsidRDefault="00000000" w:rsidRPr="00000000" w14:paraId="00000077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highlight w:val="white"/>
          <w:rtl w:val="0"/>
        </w:rPr>
        <w:t xml:space="preserve">5. Fonds de roulement : </w:t>
      </w: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il traduit la marge de manœuvre financière dont dispose l’établissement. Le fonds de roulement du collège XXX est en baisse à yyy €</w:t>
      </w:r>
    </w:p>
    <w:p w:rsidR="00000000" w:rsidDel="00000000" w:rsidP="00000000" w:rsidRDefault="00000000" w:rsidRPr="00000000" w14:paraId="00000079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Si l’on déduit, les créances supérieures à un an, le besoin en fonds de roulement positif, les provisions et les stocks, le fonds de roulement réellement disponible est de aaaa € soit xxxx j de fonctionnement.</w:t>
      </w:r>
    </w:p>
    <w:p w:rsidR="00000000" w:rsidDel="00000000" w:rsidP="00000000" w:rsidRDefault="00000000" w:rsidRPr="00000000" w14:paraId="0000007B">
      <w:pPr>
        <w:rPr>
          <w:rFonts w:ascii="Bookman Old Style" w:cs="Bookman Old Style" w:eastAsia="Bookman Old Style" w:hAnsi="Bookman Old Style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highlight w:val="white"/>
          <w:rtl w:val="0"/>
        </w:rPr>
        <w:t xml:space="preserve">6. Trésorerie : </w:t>
      </w: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c’est la situation du compte bancaire au 31/12. Le niveau actuel de trésorerie suffit  pour payer les fournisseurs y compris pendant les périodes de l'année où son niveau est au plus bas.</w:t>
      </w:r>
    </w:p>
    <w:p w:rsidR="00000000" w:rsidDel="00000000" w:rsidP="00000000" w:rsidRDefault="00000000" w:rsidRPr="00000000" w14:paraId="0000007D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b w:val="1"/>
          <w:highlight w:val="white"/>
          <w:rtl w:val="0"/>
        </w:rPr>
        <w:t xml:space="preserve">7. Conclusion</w:t>
      </w: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 : Le collège présente une situation financière satisfaisante avec un fonds de roulement en baisse mais qui reste plus que suffisant pour permettre à l’établissement de fonctionner et offre des possibilités d’investissement. </w:t>
      </w:r>
    </w:p>
    <w:p w:rsidR="00000000" w:rsidDel="00000000" w:rsidP="00000000" w:rsidRDefault="00000000" w:rsidRPr="00000000" w14:paraId="0000007F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Fonts w:ascii="Bookman Old Style" w:cs="Bookman Old Style" w:eastAsia="Bookman Old Style" w:hAnsi="Bookman Old Style"/>
          <w:highlight w:val="white"/>
          <w:rtl w:val="0"/>
        </w:rPr>
        <w:t xml:space="preserve">Une attention doit être portée sur le recouvrement des créances.</w:t>
      </w:r>
    </w:p>
    <w:p w:rsidR="00000000" w:rsidDel="00000000" w:rsidP="00000000" w:rsidRDefault="00000000" w:rsidRPr="00000000" w14:paraId="00000080">
      <w:pPr>
        <w:rPr>
          <w:rFonts w:ascii="Bookman Old Style" w:cs="Bookman Old Style" w:eastAsia="Bookman Old Style" w:hAnsi="Bookman Old Style"/>
          <w:highlight w:val="whit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805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Bookman Old Style"/>
  <w:font w:name="Time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0" w:right="0" w:firstLine="0"/>
      <w:jc w:val="center"/>
      <w:rPr>
        <w:rFonts w:ascii="Bookman Old Style" w:cs="Bookman Old Style" w:eastAsia="Bookman Old Style" w:hAnsi="Bookman Old Style"/>
        <w:b w:val="1"/>
        <w:i w:val="1"/>
        <w:sz w:val="28"/>
        <w:szCs w:val="28"/>
        <w:u w:val="single"/>
      </w:rPr>
    </w:pPr>
    <w:r w:rsidDel="00000000" w:rsidR="00000000" w:rsidRPr="00000000">
      <w:rPr>
        <w:rFonts w:ascii="Times" w:cs="Times" w:eastAsia="Times" w:hAnsi="Times"/>
        <w:b w:val="1"/>
        <w:i w:val="0"/>
        <w:smallCaps w:val="0"/>
        <w:strike w:val="0"/>
        <w:color w:val="000000"/>
        <w:sz w:val="28"/>
        <w:szCs w:val="28"/>
        <w:u w:val="singl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Bookman Old Style" w:cs="Bookman Old Style" w:eastAsia="Bookman Old Style" w:hAnsi="Bookman Old Style"/>
        <w:b w:val="1"/>
        <w:sz w:val="28"/>
        <w:szCs w:val="28"/>
        <w:u w:val="single"/>
        <w:rtl w:val="0"/>
      </w:rPr>
      <w:t xml:space="preserve">RAPPORT SUR LE COMPTE FINANCIER </w:t>
    </w:r>
    <w:r w:rsidDel="00000000" w:rsidR="00000000" w:rsidRPr="00000000">
      <w:rPr>
        <w:rFonts w:ascii="Bookman Old Style" w:cs="Bookman Old Style" w:eastAsia="Bookman Old Style" w:hAnsi="Bookman Old Style"/>
        <w:b w:val="1"/>
        <w:i w:val="1"/>
        <w:sz w:val="28"/>
        <w:szCs w:val="28"/>
        <w:u w:val="single"/>
        <w:rtl w:val="0"/>
      </w:rPr>
      <w:t xml:space="preserve">année</w:t>
    </w:r>
  </w:p>
  <w:p w:rsidR="00000000" w:rsidDel="00000000" w:rsidP="00000000" w:rsidRDefault="00000000" w:rsidRPr="00000000" w14:paraId="0000008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36"/>
        <w:tab w:val="right" w:leader="none" w:pos="9072"/>
      </w:tabs>
      <w:spacing w:after="0" w:before="0" w:line="240" w:lineRule="auto"/>
      <w:ind w:left="1275.5905511811022" w:right="0" w:firstLine="0"/>
      <w:jc w:val="center"/>
      <w:rPr>
        <w:rFonts w:ascii="Bookman Old Style" w:cs="Bookman Old Style" w:eastAsia="Bookman Old Style" w:hAnsi="Bookman Old Style"/>
        <w:b w:val="1"/>
        <w:sz w:val="28"/>
        <w:szCs w:val="28"/>
        <w:u w:val="single"/>
      </w:rPr>
    </w:pPr>
    <w:r w:rsidDel="00000000" w:rsidR="00000000" w:rsidRPr="00000000">
      <w:rPr>
        <w:rFonts w:ascii="Bookman Old Style" w:cs="Bookman Old Style" w:eastAsia="Bookman Old Style" w:hAnsi="Bookman Old Style"/>
        <w:b w:val="1"/>
        <w:sz w:val="28"/>
        <w:szCs w:val="28"/>
        <w:u w:val="single"/>
        <w:rtl w:val="0"/>
      </w:rPr>
      <w:t xml:space="preserve">Collège XXX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spacing w:after="120" w:before="240" w:lineRule="auto"/>
    </w:pPr>
    <w:rPr>
      <w:rFonts w:ascii="Arial" w:cs="Arial" w:eastAsia="Arial" w:hAnsi="Arial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